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00" w:lineRule="auto"/>
        <w:rPr>
          <w:rFonts w:ascii="Open Sans SemiBold" w:cs="Open Sans SemiBold" w:eastAsia="Open Sans SemiBold" w:hAnsi="Open Sans SemiBold"/>
          <w:color w:val="94c11f"/>
          <w:sz w:val="26"/>
          <w:szCs w:val="26"/>
        </w:rPr>
      </w:pPr>
      <w:r w:rsidDel="00000000" w:rsidR="00000000" w:rsidRPr="00000000">
        <w:rPr>
          <w:rFonts w:ascii="Open Sans SemiBold" w:cs="Open Sans SemiBold" w:eastAsia="Open Sans SemiBold" w:hAnsi="Open Sans SemiBold"/>
          <w:color w:val="94c11f"/>
          <w:sz w:val="26"/>
          <w:szCs w:val="26"/>
          <w:rtl w:val="0"/>
        </w:rPr>
        <w:t xml:space="preserve">Africa’s demographic dividend: The workforce of the future</w:t>
      </w:r>
    </w:p>
    <w:p w:rsidR="00000000" w:rsidDel="00000000" w:rsidP="00000000" w:rsidRDefault="00000000" w:rsidRPr="00000000" w14:paraId="00000002">
      <w:pPr>
        <w:spacing w:after="240" w:before="240" w:lineRule="auto"/>
        <w:rPr>
          <w:rFonts w:ascii="Lato" w:cs="Lato" w:eastAsia="Lato" w:hAnsi="Lato"/>
        </w:rPr>
      </w:pPr>
      <w:r w:rsidDel="00000000" w:rsidR="00000000" w:rsidRPr="00000000">
        <w:rPr>
          <w:rFonts w:ascii="Lato" w:cs="Lato" w:eastAsia="Lato" w:hAnsi="Lato"/>
          <w:rtl w:val="0"/>
        </w:rPr>
        <w:t xml:space="preserve">The global economy is entering a demographic turning point. Across Europe, China, and much of the developed world, workforces are shrinking, populations are aging, and productivity growth is slowing. Yet in the midst of this shift, one region is moving in the opposite direction. Africa is becoming the fastest-growing source of labor in the world, a transformation that will shape where production happens, where markets expand, and where future growth is built.</w:t>
      </w:r>
    </w:p>
    <w:p w:rsidR="00000000" w:rsidDel="00000000" w:rsidP="00000000" w:rsidRDefault="00000000" w:rsidRPr="00000000" w14:paraId="00000003">
      <w:pPr>
        <w:spacing w:after="240" w:before="240" w:lineRule="auto"/>
        <w:rPr>
          <w:rFonts w:ascii="Lato" w:cs="Lato" w:eastAsia="Lato" w:hAnsi="Lato"/>
        </w:rPr>
      </w:pPr>
      <w:r w:rsidDel="00000000" w:rsidR="00000000" w:rsidRPr="00000000">
        <w:rPr>
          <w:rFonts w:ascii="Lato" w:cs="Lato" w:eastAsia="Lato" w:hAnsi="Lato"/>
          <w:rtl w:val="0"/>
        </w:rPr>
        <w:t xml:space="preserve">This divergence is not marginal; it is structural. While advanced economies face rising dependency ratios and tightening labor markets, Africa is entering a phase of sustained workforce expansion. With a median age of approximately 19.5 years, compare</w:t>
      </w:r>
      <w:r w:rsidDel="00000000" w:rsidR="00000000" w:rsidRPr="00000000">
        <w:rPr>
          <w:rFonts w:ascii="Lato" w:cs="Lato" w:eastAsia="Lato" w:hAnsi="Lato"/>
          <w:rtl w:val="0"/>
        </w:rPr>
        <w:t xml:space="preserve">d to over 40 in Europe,</w:t>
      </w:r>
      <w:r w:rsidDel="00000000" w:rsidR="00000000" w:rsidRPr="00000000">
        <w:rPr>
          <w:rFonts w:ascii="Lato" w:cs="Lato" w:eastAsia="Lato" w:hAnsi="Lato"/>
          <w:rtl w:val="0"/>
        </w:rPr>
        <w:t xml:space="preserve"> and similar levels in China, the continent is uniquely positioned at the intersection of labor supply and long-term growth potential. By 2050, Africa’s working-age population is expected to reach roughly 1.6 billion people, accounting for nearly a quarter of the global labor force (UNECA). In a world where labor scarcity is becoming a constraint, Africa represents one of the few regions where scale is still expanding.</w:t>
      </w:r>
    </w:p>
    <w:p w:rsidR="00000000" w:rsidDel="00000000" w:rsidP="00000000" w:rsidRDefault="00000000" w:rsidRPr="00000000" w14:paraId="00000004">
      <w:pPr>
        <w:spacing w:after="240" w:before="240" w:lineRule="auto"/>
        <w:rPr>
          <w:rFonts w:ascii="Lato" w:cs="Lato" w:eastAsia="Lato" w:hAnsi="Lato"/>
        </w:rPr>
      </w:pPr>
      <w:r w:rsidDel="00000000" w:rsidR="00000000" w:rsidRPr="00000000">
        <w:rPr>
          <w:rFonts w:ascii="Lato" w:cs="Lato" w:eastAsia="Lato" w:hAnsi="Lato"/>
          <w:rtl w:val="0"/>
        </w:rPr>
        <w:t xml:space="preserve">The implications extend beyond labor availability. A growing workforce does not only supply production capacity; it also underpins demand. As incomes rise and urbanization accelerates, Africa’s demographic expansion is translating into a broad based consumption story. Cities are growing, informal markets are formalizing, and new consumer segments are emerging across income brackets. This dual dynamic, a rising labor base alongside expanding domestic demand, positions Africa as both a production hub and a consumption frontier.</w:t>
      </w:r>
    </w:p>
    <w:p w:rsidR="00000000" w:rsidDel="00000000" w:rsidP="00000000" w:rsidRDefault="00000000" w:rsidRPr="00000000" w14:paraId="00000005">
      <w:pPr>
        <w:spacing w:after="240" w:before="240" w:lineRule="auto"/>
        <w:rPr>
          <w:rFonts w:ascii="Lato" w:cs="Lato" w:eastAsia="Lato" w:hAnsi="Lato"/>
        </w:rPr>
      </w:pPr>
      <w:r w:rsidDel="00000000" w:rsidR="00000000" w:rsidRPr="00000000">
        <w:rPr>
          <w:rFonts w:ascii="Lato" w:cs="Lato" w:eastAsia="Lato" w:hAnsi="Lato"/>
          <w:rtl w:val="0"/>
        </w:rPr>
        <w:t xml:space="preserve">However, demographic potential is not self-executing. Each year, an estimated 10 to 12 million young Africans enter the labor market, yet only about </w:t>
      </w:r>
      <w:r w:rsidDel="00000000" w:rsidR="00000000" w:rsidRPr="00000000">
        <w:rPr>
          <w:rFonts w:ascii="Lato" w:cs="Lato" w:eastAsia="Lato" w:hAnsi="Lato"/>
          <w:rtl w:val="0"/>
        </w:rPr>
        <w:t xml:space="preserve">3 million</w:t>
      </w:r>
      <w:r w:rsidDel="00000000" w:rsidR="00000000" w:rsidRPr="00000000">
        <w:rPr>
          <w:rFonts w:ascii="Lato" w:cs="Lato" w:eastAsia="Lato" w:hAnsi="Lato"/>
          <w:rtl w:val="0"/>
        </w:rPr>
        <w:t xml:space="preserve"> are absorbed into formal employment(</w:t>
      </w:r>
      <w:r w:rsidDel="00000000" w:rsidR="00000000" w:rsidRPr="00000000">
        <w:rPr>
          <w:rFonts w:ascii="Lato" w:cs="Lato" w:eastAsia="Lato" w:hAnsi="Lato"/>
          <w:highlight w:val="white"/>
          <w:rtl w:val="0"/>
        </w:rPr>
        <w:t xml:space="preserve">The Foundation for European Progressive Studies (FEPS))</w:t>
      </w:r>
      <w:r w:rsidDel="00000000" w:rsidR="00000000" w:rsidRPr="00000000">
        <w:rPr>
          <w:rFonts w:ascii="Lato" w:cs="Lato" w:eastAsia="Lato" w:hAnsi="Lato"/>
          <w:rtl w:val="0"/>
        </w:rPr>
        <w:t xml:space="preserve">. This gap is often framed as a risk. In reality, it signals the scale of unmet demand for job creation and productive enterprise. It highlights where capital is most needed, in sectors capable of absorbing labor at scale while building sustainable value chains. Agribusiness, light manufacturing, logistics, and digitally enabled services stand out as critical areas where investment can translate directly into both employment and productivity gains.</w:t>
      </w:r>
    </w:p>
    <w:p w:rsidR="00000000" w:rsidDel="00000000" w:rsidP="00000000" w:rsidRDefault="00000000" w:rsidRPr="00000000" w14:paraId="00000006">
      <w:pPr>
        <w:spacing w:after="240" w:before="240" w:lineRule="auto"/>
        <w:rPr>
          <w:rFonts w:ascii="Lato" w:cs="Lato" w:eastAsia="Lato" w:hAnsi="Lato"/>
        </w:rPr>
      </w:pPr>
      <w:r w:rsidDel="00000000" w:rsidR="00000000" w:rsidRPr="00000000">
        <w:rPr>
          <w:rFonts w:ascii="Lato" w:cs="Lato" w:eastAsia="Lato" w:hAnsi="Lato"/>
          <w:rtl w:val="0"/>
        </w:rPr>
        <w:t xml:space="preserve">This is where the demographic story becomes an investment thesis. In mature markets, growth is driven by efficiency gains and competition for existing market share; in Africa, it is driven by building into underpenetrated markets where demand already exists, but supply remains constrained. Structural gaps across key sectors quantify this opportunity: o</w:t>
      </w:r>
      <w:r w:rsidDel="00000000" w:rsidR="00000000" w:rsidRPr="00000000">
        <w:rPr>
          <w:rFonts w:ascii="Lato" w:cs="Lato" w:eastAsia="Lato" w:hAnsi="Lato"/>
          <w:rtl w:val="0"/>
        </w:rPr>
        <w:t xml:space="preserve">ver 600 million people lack access to reliable electricity and nearly 900 million lack access to clean cooking solutions (World Bank, IEA); around 350 million adults remain unbanked (World Bank Global Findex); Africa carries over 24% of the global disease burden with only approximately 3% of the world’s health workforce (WHO); and 30–40% of food produced is lost before reaching markets due to inefficiencies in storage and logistics (FAO). These are not marginal gaps,  they are large-scale demand signals, pointing to multi billion dollar opportunities across energy, fintech, healthcare, agribusiness, and supply chain infrastructure, where capital can unlock both economic returns and system level im</w:t>
      </w:r>
      <w:r w:rsidDel="00000000" w:rsidR="00000000" w:rsidRPr="00000000">
        <w:rPr>
          <w:rFonts w:ascii="Lato" w:cs="Lato" w:eastAsia="Lato" w:hAnsi="Lato"/>
          <w:rtl w:val="0"/>
        </w:rPr>
        <w:t xml:space="preserve">pact.</w:t>
      </w:r>
    </w:p>
    <w:p w:rsidR="00000000" w:rsidDel="00000000" w:rsidP="00000000" w:rsidRDefault="00000000" w:rsidRPr="00000000" w14:paraId="00000007">
      <w:pPr>
        <w:spacing w:after="240" w:before="240" w:lineRule="auto"/>
        <w:rPr>
          <w:rFonts w:ascii="Lato" w:cs="Lato" w:eastAsia="Lato" w:hAnsi="Lato"/>
        </w:rPr>
      </w:pPr>
      <w:r w:rsidDel="00000000" w:rsidR="00000000" w:rsidRPr="00000000">
        <w:rPr>
          <w:rFonts w:ascii="Lato" w:cs="Lato" w:eastAsia="Lato" w:hAnsi="Lato"/>
          <w:rtl w:val="0"/>
        </w:rPr>
        <w:t xml:space="preserve">Africa’s demographic advantage is increasingly being supported by a broader education pipeline. Over roughly the past decade, lower-secondary completion in Sub-Saharan Africa has risen from approximately 40% to 44%, with 43.5% of girls and 45.3% of boys completing lower-secondary education by 2023, according to the UNESCO Institute for Statistics (UIS) and World Bank education indicators. Tertiary enrolment also increased from approximately 8% in 2014 to 9% in 2021, representing about 12.5% relative growth, based on World Bank World Development Indicators (WDI) data. While further progress is required, these trends are gradually strengthening the quality of a labour force that already receives an estimated 10–12 million new entrants annually, as reported by the International Labour Organization (ILO) and African Development Bank (AfDB). Continued investment in education, technical and vocational training, and digital skills will therefore be critical to converting Africa’s young and growing population into a more productive, adaptable, and entrepreneurial workforce. </w:t>
      </w:r>
    </w:p>
    <w:p w:rsidR="00000000" w:rsidDel="00000000" w:rsidP="00000000" w:rsidRDefault="00000000" w:rsidRPr="00000000" w14:paraId="00000008">
      <w:pPr>
        <w:spacing w:after="240" w:before="240" w:lineRule="auto"/>
        <w:rPr>
          <w:rFonts w:ascii="Lato" w:cs="Lato" w:eastAsia="Lato" w:hAnsi="Lato"/>
        </w:rPr>
      </w:pPr>
      <w:r w:rsidDel="00000000" w:rsidR="00000000" w:rsidRPr="00000000">
        <w:rPr>
          <w:rFonts w:ascii="Lato" w:cs="Lato" w:eastAsia="Lato" w:hAnsi="Lato"/>
          <w:rtl w:val="0"/>
        </w:rPr>
        <w:t xml:space="preserve">For investors, the significance of these trends lies in their durability. Demographic shifts operate over decades, not cycles. Africa’s workforce expansion is not a short term phenomenon; it is a long term structural driver that will influence consumption patterns, labor markets, and economic growth trajectories for the foreseeable future. As aging economies confront labor shortages and rising costs, Africa is likely to play an increasingly central role in global supply chains, service delivery, and market expansion.</w:t>
      </w:r>
    </w:p>
    <w:p w:rsidR="00000000" w:rsidDel="00000000" w:rsidP="00000000" w:rsidRDefault="00000000" w:rsidRPr="00000000" w14:paraId="00000009">
      <w:pPr>
        <w:spacing w:after="240" w:before="240" w:lineRule="auto"/>
        <w:rPr>
          <w:rFonts w:ascii="Lato" w:cs="Lato" w:eastAsia="Lato" w:hAnsi="Lato"/>
        </w:rPr>
      </w:pPr>
      <w:r w:rsidDel="00000000" w:rsidR="00000000" w:rsidRPr="00000000">
        <w:rPr>
          <w:rFonts w:ascii="Lato" w:cs="Lato" w:eastAsia="Lato" w:hAnsi="Lato"/>
          <w:rtl w:val="0"/>
        </w:rPr>
        <w:t xml:space="preserve">At MTI Investment, we view Africa’s demographic trajectory as a foundational layer of opportunity. The question is no longer whether this growth will occur, but how it will be shaped, and by whom. Businesses that are able to align with this demographic reality, build scalable models, and engage deeply with local markets will be best positioned to capture long term value. Equally, investors who understand the interplay between labor, consumption, and structural gaps will be better equipped to identify where capital can generate both strong returns and meaningful impact.</w:t>
      </w:r>
    </w:p>
    <w:p w:rsidR="00000000" w:rsidDel="00000000" w:rsidP="00000000" w:rsidRDefault="00000000" w:rsidRPr="00000000" w14:paraId="0000000A">
      <w:pPr>
        <w:spacing w:after="240" w:before="240" w:lineRule="auto"/>
        <w:rPr>
          <w:rFonts w:ascii="Lato" w:cs="Lato" w:eastAsia="Lato" w:hAnsi="Lato"/>
        </w:rPr>
      </w:pPr>
      <w:r w:rsidDel="00000000" w:rsidR="00000000" w:rsidRPr="00000000">
        <w:rPr>
          <w:rFonts w:ascii="Lato" w:cs="Lato" w:eastAsia="Lato" w:hAnsi="Lato"/>
          <w:rtl w:val="0"/>
        </w:rPr>
        <w:t xml:space="preserve">The narrative around Africa’s population has long been framed in terms of pressure. Increasingly, it should be understood in terms of potential. In a world defined by demographic imbalance, Africa stands out not as an exception but as a central part of the solution. Those who recognize this shift early will not only participate in growth, they will help define where and how that growth unfolds.</w:t>
      </w:r>
    </w:p>
    <w:p w:rsidR="00000000" w:rsidDel="00000000" w:rsidP="00000000" w:rsidRDefault="00000000" w:rsidRPr="00000000" w14:paraId="0000000B">
      <w:pPr>
        <w:rPr>
          <w:rFonts w:ascii="Open Sans" w:cs="Open Sans" w:eastAsia="Open Sans" w:hAnsi="Open Sans"/>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431.99999999999994" w:footer="431.9999999999999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jc w:val="both"/>
      <w:rPr/>
    </w:pPr>
    <w:r w:rsidDel="00000000" w:rsidR="00000000" w:rsidRPr="00000000">
      <w:rPr>
        <w:rFonts w:ascii="Open Sans" w:cs="Open Sans" w:eastAsia="Open Sans" w:hAnsi="Open Sans"/>
      </w:rPr>
      <w:drawing>
        <wp:inline distB="114300" distT="114300" distL="114300" distR="114300">
          <wp:extent cx="5943600" cy="1003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0033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jc w:val="both"/>
      <w:rPr/>
    </w:pPr>
    <w:r w:rsidDel="00000000" w:rsidR="00000000" w:rsidRPr="00000000">
      <w:rPr>
        <w:rFonts w:ascii="Open Sans" w:cs="Open Sans" w:eastAsia="Open Sans" w:hAnsi="Open Sans"/>
      </w:rPr>
      <w:drawing>
        <wp:inline distB="114300" distT="114300" distL="114300" distR="114300">
          <wp:extent cx="5943600" cy="10033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0033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-171449</wp:posOffset>
          </wp:positionV>
          <wp:extent cx="1014413" cy="718168"/>
          <wp:effectExtent b="0" l="0" r="0" t="0"/>
          <wp:wrapNone/>
          <wp:docPr descr="A picture containing plant&#10;&#10;Description automatically generated" id="3" name="image2.png"/>
          <a:graphic>
            <a:graphicData uri="http://schemas.openxmlformats.org/drawingml/2006/picture">
              <pic:pic>
                <pic:nvPicPr>
                  <pic:cNvPr descr="A picture containing plant&#10;&#10;Description automatically generated" id="0" name="image2.png"/>
                  <pic:cNvPicPr preferRelativeResize="0"/>
                </pic:nvPicPr>
                <pic:blipFill>
                  <a:blip r:embed="rId1"/>
                  <a:srcRect b="0" l="0" r="0" t="0"/>
                  <a:stretch>
                    <a:fillRect/>
                  </a:stretch>
                </pic:blipFill>
                <pic:spPr>
                  <a:xfrm>
                    <a:off x="0" y="0"/>
                    <a:ext cx="1014413" cy="71816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OpenSansSemiBold-regular.ttf"/><Relationship Id="rId6" Type="http://schemas.openxmlformats.org/officeDocument/2006/relationships/font" Target="fonts/OpenSansSemiBold-bold.ttf"/><Relationship Id="rId7" Type="http://schemas.openxmlformats.org/officeDocument/2006/relationships/font" Target="fonts/OpenSansSemiBold-italic.ttf"/><Relationship Id="rId8" Type="http://schemas.openxmlformats.org/officeDocument/2006/relationships/font" Target="fonts/OpenSansSemi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